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EE347B">
        <w:t>Saša Mijalković</w:t>
      </w:r>
    </w:p>
    <w:p w:rsidR="00670CA2" w:rsidRPr="00EE347B" w:rsidRDefault="00670CA2" w:rsidP="00C911B8">
      <w:pPr>
        <w:spacing w:after="120" w:line="360" w:lineRule="auto"/>
        <w:ind w:left="284" w:right="902"/>
        <w:rPr>
          <w:lang w:val="en-US"/>
        </w:rPr>
      </w:pPr>
      <w:r>
        <w:t xml:space="preserve">E-mail: </w:t>
      </w:r>
      <w:r w:rsidR="00EE347B">
        <w:t>sasa.mijalkovic@kpa.edu.rs</w:t>
      </w:r>
    </w:p>
    <w:p w:rsidR="00670CA2" w:rsidRDefault="00670CA2" w:rsidP="00C911B8">
      <w:pPr>
        <w:spacing w:after="120" w:line="360" w:lineRule="auto"/>
        <w:ind w:left="284" w:right="902"/>
      </w:pPr>
      <w:r>
        <w:t xml:space="preserve">Institution: </w:t>
      </w:r>
      <w:r w:rsidR="00EE347B">
        <w:t>Academy for Criminalistic and Police Studies, Belgrade, Republic of Serbia</w:t>
      </w:r>
    </w:p>
    <w:tbl>
      <w:tblPr>
        <w:tblStyle w:val="TableGrid"/>
        <w:tblW w:w="0" w:type="auto"/>
        <w:tblInd w:w="284" w:type="dxa"/>
        <w:tblLook w:val="04A0"/>
      </w:tblPr>
      <w:tblGrid>
        <w:gridCol w:w="3668"/>
        <w:gridCol w:w="6464"/>
      </w:tblGrid>
      <w:tr w:rsidR="00670CA2" w:rsidTr="00670CA2">
        <w:tc>
          <w:tcPr>
            <w:tcW w:w="2518" w:type="dxa"/>
          </w:tcPr>
          <w:p w:rsidR="00670CA2" w:rsidRDefault="00EE347B" w:rsidP="00C911B8">
            <w:pPr>
              <w:spacing w:after="120" w:line="360" w:lineRule="auto"/>
              <w:ind w:right="902"/>
            </w:pPr>
            <w:r>
              <w:rPr>
                <w:rFonts w:cs="Arial"/>
                <w:noProof/>
                <w:lang w:val="en-US"/>
              </w:rPr>
              <w:drawing>
                <wp:inline distT="0" distB="0" distL="0" distR="0">
                  <wp:extent cx="1590675" cy="2041575"/>
                  <wp:effectExtent l="19050" t="0" r="9525" b="0"/>
                  <wp:docPr id="1" name="Picture 1" descr="sasa_borb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_borba 1"/>
                          <pic:cNvPicPr>
                            <a:picLocks noChangeAspect="1" noChangeArrowheads="1"/>
                          </pic:cNvPicPr>
                        </pic:nvPicPr>
                        <pic:blipFill>
                          <a:blip r:embed="rId7" cstate="print"/>
                          <a:srcRect/>
                          <a:stretch>
                            <a:fillRect/>
                          </a:stretch>
                        </pic:blipFill>
                        <pic:spPr bwMode="auto">
                          <a:xfrm>
                            <a:off x="0" y="0"/>
                            <a:ext cx="1590675" cy="2041575"/>
                          </a:xfrm>
                          <a:prstGeom prst="rect">
                            <a:avLst/>
                          </a:prstGeom>
                          <a:noFill/>
                          <a:ln w="9525">
                            <a:noFill/>
                            <a:miter lim="800000"/>
                            <a:headEnd/>
                            <a:tailEnd/>
                          </a:ln>
                        </pic:spPr>
                      </pic:pic>
                    </a:graphicData>
                  </a:graphic>
                </wp:inline>
              </w:drawing>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464541" w:rsidRPr="00E71A97" w:rsidRDefault="00464541" w:rsidP="00464541">
            <w:pPr>
              <w:ind w:left="17"/>
              <w:jc w:val="both"/>
              <w:rPr>
                <w:szCs w:val="24"/>
              </w:rPr>
            </w:pPr>
            <w:r w:rsidRPr="00E71A97">
              <w:rPr>
                <w:b/>
                <w:szCs w:val="24"/>
              </w:rPr>
              <w:t>Saša Mijalković</w:t>
            </w:r>
            <w:r w:rsidRPr="00E71A97">
              <w:rPr>
                <w:szCs w:val="24"/>
              </w:rPr>
              <w:t xml:space="preserve"> is a Full Professor (National Security, Methodology of Intelligence </w:t>
            </w:r>
            <w:r w:rsidRPr="00E71A97">
              <w:rPr>
                <w:rFonts w:cs="Times New Roman"/>
                <w:szCs w:val="24"/>
              </w:rPr>
              <w:t>−</w:t>
            </w:r>
            <w:r w:rsidRPr="00E71A97">
              <w:rPr>
                <w:szCs w:val="24"/>
              </w:rPr>
              <w:t xml:space="preserve"> Undergraduate Studies; Phenomenology of Security threats,  Methodology of Scientific Researching, Terrorism and Political Violence </w:t>
            </w:r>
            <w:r w:rsidRPr="00E71A97">
              <w:rPr>
                <w:rFonts w:cs="Times New Roman"/>
                <w:szCs w:val="24"/>
              </w:rPr>
              <w:t>−</w:t>
            </w:r>
            <w:r w:rsidRPr="00E71A97">
              <w:rPr>
                <w:szCs w:val="24"/>
              </w:rPr>
              <w:t xml:space="preserve"> Postgraduate Studies) at Academy of Criminalistic and Police Studies, Belgrade. </w:t>
            </w:r>
          </w:p>
          <w:p w:rsidR="00464541" w:rsidRPr="00E71A97" w:rsidRDefault="00464541" w:rsidP="00464541">
            <w:pPr>
              <w:ind w:left="17"/>
              <w:jc w:val="both"/>
              <w:rPr>
                <w:szCs w:val="24"/>
              </w:rPr>
            </w:pPr>
            <w:r w:rsidRPr="00E71A97">
              <w:rPr>
                <w:szCs w:val="24"/>
              </w:rPr>
              <w:t xml:space="preserve">Also, he is guesting Full Professor (Research Methodology of Security Phenomena, National Security Sistems </w:t>
            </w:r>
            <w:r w:rsidRPr="00E71A97">
              <w:rPr>
                <w:rFonts w:cs="Times New Roman"/>
                <w:szCs w:val="24"/>
              </w:rPr>
              <w:t>−</w:t>
            </w:r>
            <w:r w:rsidRPr="00E71A97">
              <w:rPr>
                <w:szCs w:val="24"/>
              </w:rPr>
              <w:t xml:space="preserve"> Undergraduate Studies) at Faculty of Law, University of Montenegro, and a guesting Full Professor (Security Sistems </w:t>
            </w:r>
            <w:r w:rsidRPr="00E71A97">
              <w:rPr>
                <w:rFonts w:cs="Times New Roman"/>
                <w:szCs w:val="24"/>
              </w:rPr>
              <w:t>−</w:t>
            </w:r>
            <w:r w:rsidRPr="00E71A97">
              <w:rPr>
                <w:szCs w:val="24"/>
              </w:rPr>
              <w:t xml:space="preserve"> Undergraduate Studies) at Faculty of Law, University of Kragujevac.</w:t>
            </w:r>
          </w:p>
          <w:p w:rsidR="00670CA2" w:rsidRPr="00464541" w:rsidRDefault="00464541" w:rsidP="00464541">
            <w:pPr>
              <w:ind w:left="17"/>
              <w:jc w:val="both"/>
              <w:rPr>
                <w:rFonts w:ascii="Times New Roman" w:hAnsi="Times New Roman"/>
                <w:szCs w:val="24"/>
              </w:rPr>
            </w:pPr>
            <w:r w:rsidRPr="00E71A97">
              <w:rPr>
                <w:szCs w:val="24"/>
              </w:rPr>
              <w:t xml:space="preserve">The </w:t>
            </w:r>
            <w:r w:rsidRPr="00E71A97">
              <w:rPr>
                <w:szCs w:val="24"/>
                <w:lang w:val="en-US"/>
              </w:rPr>
              <w:t>M</w:t>
            </w:r>
            <w:r w:rsidRPr="00E71A97">
              <w:rPr>
                <w:szCs w:val="24"/>
              </w:rPr>
              <w:t xml:space="preserve">inistry of </w:t>
            </w:r>
            <w:r w:rsidRPr="00E71A97">
              <w:rPr>
                <w:szCs w:val="24"/>
                <w:lang w:val="en-US"/>
              </w:rPr>
              <w:t xml:space="preserve">education and </w:t>
            </w:r>
            <w:r w:rsidRPr="00E71A97">
              <w:rPr>
                <w:szCs w:val="24"/>
              </w:rPr>
              <w:t xml:space="preserve">science </w:t>
            </w:r>
            <w:r w:rsidRPr="00E71A97">
              <w:rPr>
                <w:szCs w:val="24"/>
                <w:lang w:val="en-US"/>
              </w:rPr>
              <w:t xml:space="preserve">of Republic of Serbia </w:t>
            </w:r>
            <w:r w:rsidRPr="00E71A97">
              <w:rPr>
                <w:szCs w:val="24"/>
              </w:rPr>
              <w:t xml:space="preserve">classified  his overall research work in the highest − A1 category, </w:t>
            </w:r>
            <w:r w:rsidRPr="00E71A97">
              <w:rPr>
                <w:szCs w:val="24"/>
                <w:lang w:val="en-US"/>
              </w:rPr>
              <w:t>allotted</w:t>
            </w:r>
            <w:r w:rsidRPr="00E71A97">
              <w:rPr>
                <w:szCs w:val="24"/>
              </w:rPr>
              <w:t xml:space="preserve"> him the status of outstanding young scientists and entrusted the management of two science research projects of national importance: </w:t>
            </w:r>
            <w:r w:rsidRPr="00E71A97">
              <w:rPr>
                <w:i/>
                <w:szCs w:val="24"/>
              </w:rPr>
              <w:t>Prevention and suppression of contemporary forms of crime</w:t>
            </w:r>
            <w:r w:rsidRPr="00E71A97">
              <w:rPr>
                <w:szCs w:val="24"/>
              </w:rPr>
              <w:t xml:space="preserve"> (2006−2010) and the </w:t>
            </w:r>
            <w:r w:rsidRPr="00E71A97">
              <w:rPr>
                <w:i/>
                <w:szCs w:val="24"/>
              </w:rPr>
              <w:t>Development of institutional capacity, standards and procedures for combating organized crime and terrorism in the conditions of international integration</w:t>
            </w:r>
            <w:r w:rsidRPr="00E71A97">
              <w:rPr>
                <w:szCs w:val="24"/>
              </w:rPr>
              <w:t xml:space="preserve"> (2011−201</w:t>
            </w:r>
            <w:r w:rsidRPr="00E71A97">
              <w:rPr>
                <w:szCs w:val="24"/>
                <w:lang w:val="en-US"/>
              </w:rPr>
              <w:t>7</w:t>
            </w:r>
            <w:r w:rsidRPr="00E71A97">
              <w:rPr>
                <w:szCs w:val="24"/>
              </w:rPr>
              <w:t>).</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EE347B" w:rsidRPr="00E71A97" w:rsidRDefault="00E71A97" w:rsidP="00E71A97">
            <w:pPr>
              <w:ind w:left="709" w:hanging="709"/>
              <w:jc w:val="both"/>
              <w:rPr>
                <w:szCs w:val="24"/>
              </w:rPr>
            </w:pPr>
            <w:r>
              <w:rPr>
                <w:szCs w:val="24"/>
              </w:rPr>
              <w:t xml:space="preserve">1. </w:t>
            </w:r>
            <w:r w:rsidR="00EE347B" w:rsidRPr="00E71A97">
              <w:rPr>
                <w:b/>
                <w:szCs w:val="24"/>
              </w:rPr>
              <w:t>Mijalković S.</w:t>
            </w:r>
            <w:r w:rsidR="00EE347B" w:rsidRPr="00E71A97">
              <w:rPr>
                <w:szCs w:val="24"/>
              </w:rPr>
              <w:t xml:space="preserve">: </w:t>
            </w:r>
            <w:r w:rsidR="00EE347B" w:rsidRPr="00E71A97">
              <w:rPr>
                <w:i/>
                <w:szCs w:val="24"/>
              </w:rPr>
              <w:t>National security</w:t>
            </w:r>
            <w:r w:rsidR="00EE347B" w:rsidRPr="00E71A97">
              <w:rPr>
                <w:szCs w:val="24"/>
              </w:rPr>
              <w:t>. Belgrade: Academy of Criminalistic and Police Studies, 2009, 2011</w:t>
            </w:r>
            <w:r w:rsidR="00EE347B" w:rsidRPr="00E71A97">
              <w:rPr>
                <w:szCs w:val="24"/>
                <w:lang w:val="en-US"/>
              </w:rPr>
              <w:t>, 2015</w:t>
            </w:r>
            <w:r w:rsidR="00EE347B" w:rsidRPr="00E71A97">
              <w:rPr>
                <w:szCs w:val="24"/>
              </w:rPr>
              <w:t>. (textbook).</w:t>
            </w:r>
          </w:p>
          <w:p w:rsidR="00EE347B" w:rsidRPr="00E71A97" w:rsidRDefault="00E71A97" w:rsidP="00E71A97">
            <w:pPr>
              <w:ind w:left="709" w:hanging="709"/>
              <w:jc w:val="both"/>
              <w:rPr>
                <w:szCs w:val="24"/>
              </w:rPr>
            </w:pPr>
            <w:r>
              <w:rPr>
                <w:szCs w:val="24"/>
              </w:rPr>
              <w:t xml:space="preserve">2. </w:t>
            </w:r>
            <w:r w:rsidR="00EE347B" w:rsidRPr="00E71A97">
              <w:rPr>
                <w:b/>
                <w:szCs w:val="24"/>
              </w:rPr>
              <w:t>Mijalković S.</w:t>
            </w:r>
            <w:r w:rsidR="00EE347B" w:rsidRPr="00E71A97">
              <w:rPr>
                <w:szCs w:val="24"/>
              </w:rPr>
              <w:t xml:space="preserve">: </w:t>
            </w:r>
            <w:r w:rsidR="00EE347B" w:rsidRPr="00E71A97">
              <w:rPr>
                <w:i/>
                <w:szCs w:val="24"/>
              </w:rPr>
              <w:t>Countering human trafficking and smuggling of migrants - the possibilities of improving the security and law enforcement practices of national security systems</w:t>
            </w:r>
            <w:r w:rsidR="00EE347B" w:rsidRPr="00E71A97">
              <w:rPr>
                <w:szCs w:val="24"/>
              </w:rPr>
              <w:t>. Belgrade: Official Gazette and the Institute of Comparative Law, 2009. (Monograph).</w:t>
            </w:r>
          </w:p>
          <w:p w:rsidR="00EE347B" w:rsidRPr="00E71A97" w:rsidRDefault="00E71A97" w:rsidP="00E71A97">
            <w:pPr>
              <w:ind w:left="709" w:hanging="709"/>
              <w:jc w:val="both"/>
              <w:rPr>
                <w:szCs w:val="24"/>
              </w:rPr>
            </w:pPr>
            <w:r>
              <w:rPr>
                <w:szCs w:val="24"/>
              </w:rPr>
              <w:t xml:space="preserve">3. </w:t>
            </w:r>
            <w:r w:rsidR="00EE347B" w:rsidRPr="00E71A97">
              <w:rPr>
                <w:b/>
                <w:szCs w:val="24"/>
              </w:rPr>
              <w:t>Mijalković S.</w:t>
            </w:r>
            <w:r w:rsidR="00EE347B" w:rsidRPr="00E71A97">
              <w:rPr>
                <w:szCs w:val="24"/>
              </w:rPr>
              <w:t>, Milosevic M</w:t>
            </w:r>
            <w:r w:rsidR="00EE347B" w:rsidRPr="00E71A97">
              <w:rPr>
                <w:i/>
                <w:szCs w:val="24"/>
              </w:rPr>
              <w:t>.: Intelligence and security activities and services</w:t>
            </w:r>
            <w:r w:rsidR="00EE347B" w:rsidRPr="00E71A97">
              <w:rPr>
                <w:szCs w:val="24"/>
              </w:rPr>
              <w:t>. Banja Luka: Higher School of Internal Affairs, 2011. (Monograph).</w:t>
            </w:r>
          </w:p>
          <w:p w:rsidR="00EE347B" w:rsidRPr="00E71A97" w:rsidRDefault="00E71A97" w:rsidP="00E71A97">
            <w:pPr>
              <w:ind w:left="709" w:hanging="709"/>
              <w:jc w:val="both"/>
              <w:rPr>
                <w:szCs w:val="24"/>
              </w:rPr>
            </w:pPr>
            <w:r>
              <w:rPr>
                <w:szCs w:val="24"/>
              </w:rPr>
              <w:t xml:space="preserve">4. </w:t>
            </w:r>
            <w:r w:rsidR="00EE347B" w:rsidRPr="00E71A97">
              <w:rPr>
                <w:b/>
                <w:szCs w:val="24"/>
              </w:rPr>
              <w:t>Mijalković S.</w:t>
            </w:r>
            <w:r w:rsidR="00EE347B" w:rsidRPr="00E71A97">
              <w:rPr>
                <w:szCs w:val="24"/>
              </w:rPr>
              <w:t xml:space="preserve">, Bajagić, M.: </w:t>
            </w:r>
            <w:r w:rsidR="00EE347B" w:rsidRPr="00E71A97">
              <w:rPr>
                <w:i/>
                <w:szCs w:val="24"/>
              </w:rPr>
              <w:t>Organized crime and terrorism</w:t>
            </w:r>
            <w:r w:rsidR="00EE347B" w:rsidRPr="00E71A97">
              <w:rPr>
                <w:szCs w:val="24"/>
              </w:rPr>
              <w:t>. Belgrade: Academy of Criminalistic and Police Studies, 2012. (Monograph).</w:t>
            </w:r>
          </w:p>
          <w:p w:rsidR="00670CA2" w:rsidRPr="00EE347B" w:rsidRDefault="00E71A97" w:rsidP="00E71A97">
            <w:pPr>
              <w:ind w:left="709" w:hanging="709"/>
              <w:jc w:val="both"/>
              <w:rPr>
                <w:rFonts w:ascii="Times New Roman" w:hAnsi="Times New Roman"/>
                <w:szCs w:val="24"/>
              </w:rPr>
            </w:pPr>
            <w:r>
              <w:rPr>
                <w:szCs w:val="24"/>
              </w:rPr>
              <w:t xml:space="preserve">5. </w:t>
            </w:r>
            <w:r w:rsidR="00EE347B" w:rsidRPr="00E71A97">
              <w:rPr>
                <w:b/>
                <w:szCs w:val="24"/>
              </w:rPr>
              <w:t>Mijalković S.</w:t>
            </w:r>
            <w:r w:rsidR="00EE347B" w:rsidRPr="00E71A97">
              <w:rPr>
                <w:szCs w:val="24"/>
              </w:rPr>
              <w:t xml:space="preserve">, Popović, M: </w:t>
            </w:r>
            <w:r w:rsidR="00EE347B" w:rsidRPr="00E71A97">
              <w:rPr>
                <w:i/>
                <w:szCs w:val="24"/>
              </w:rPr>
              <w:t>Intoduction into Security Studies</w:t>
            </w:r>
            <w:r w:rsidR="00EE347B" w:rsidRPr="00E71A97">
              <w:rPr>
                <w:szCs w:val="24"/>
              </w:rPr>
              <w:t xml:space="preserve">. Belgrade: Academy of Criminalistic and Police Studies, </w:t>
            </w:r>
            <w:r w:rsidR="00EE347B" w:rsidRPr="00E71A97">
              <w:rPr>
                <w:szCs w:val="24"/>
                <w:lang w:val="en-US"/>
              </w:rPr>
              <w:t>2015, 2016</w:t>
            </w:r>
            <w:r w:rsidR="00EE347B" w:rsidRPr="00E71A97">
              <w:rPr>
                <w:szCs w:val="24"/>
              </w:rPr>
              <w:t>. (Monograph)</w:t>
            </w:r>
          </w:p>
        </w:tc>
      </w:tr>
    </w:tbl>
    <w:p w:rsidR="00F25283" w:rsidRDefault="00E71A97" w:rsidP="00E71A97">
      <w:pPr>
        <w:spacing w:after="120" w:line="360" w:lineRule="auto"/>
        <w:ind w:left="284" w:right="902"/>
      </w:pPr>
      <w:r w:rsidRPr="00CA0A4A">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4.3pt;margin-top:13.0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p w:rsidR="00F25283" w:rsidRPr="00242A86" w:rsidRDefault="00F25283" w:rsidP="00242A86"/>
    <w:sectPr w:rsidR="00F25283" w:rsidRPr="00242A86"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F4F" w:rsidRDefault="00560F4F">
      <w:r>
        <w:separator/>
      </w:r>
    </w:p>
  </w:endnote>
  <w:endnote w:type="continuationSeparator" w:id="0">
    <w:p w:rsidR="00560F4F" w:rsidRDefault="00560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F4F" w:rsidRDefault="00560F4F">
      <w:r>
        <w:separator/>
      </w:r>
    </w:p>
  </w:footnote>
  <w:footnote w:type="continuationSeparator" w:id="0">
    <w:p w:rsidR="00560F4F" w:rsidRDefault="00560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0F4F"/>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0A4A"/>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71A97"/>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83</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20</cp:revision>
  <cp:lastPrinted>2016-01-21T07:14:00Z</cp:lastPrinted>
  <dcterms:created xsi:type="dcterms:W3CDTF">2016-01-20T13:49:00Z</dcterms:created>
  <dcterms:modified xsi:type="dcterms:W3CDTF">2018-03-19T22:42:00Z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